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sz w:val="28"/>
          <w:szCs w:val="28"/>
        </w:rPr>
        <w:t>Guidelines for Healthy Eating</w:t>
      </w:r>
    </w:p>
    <w:p>
      <w:pPr>
        <w:pStyle w:val="ListParagraph"/>
        <w:numPr>
          <w:ilvl w:val="0"/>
          <w:numId w:val="1"/>
        </w:numPr>
        <w:rPr/>
      </w:pPr>
      <w:r>
        <w:rPr>
          <w:sz w:val="24"/>
          <w:szCs w:val="24"/>
        </w:rPr>
        <w:t>Caherea National School, through these guidelines, aims to help all those involved in our school community in developing positive and responsible attitudes to eating and to the contribution that good food makes to health.</w:t>
      </w:r>
    </w:p>
    <w:p>
      <w:pPr>
        <w:pStyle w:val="ListParagraph"/>
        <w:numPr>
          <w:ilvl w:val="0"/>
          <w:numId w:val="0"/>
        </w:numPr>
        <w:ind w:left="1440" w:hanging="0"/>
        <w:rPr>
          <w:sz w:val="24"/>
          <w:szCs w:val="24"/>
        </w:rPr>
      </w:pPr>
      <w:r>
        <w:rPr>
          <w:sz w:val="24"/>
          <w:szCs w:val="24"/>
        </w:rPr>
      </w:r>
    </w:p>
    <w:p>
      <w:pPr>
        <w:pStyle w:val="ListParagraph"/>
        <w:numPr>
          <w:ilvl w:val="0"/>
          <w:numId w:val="1"/>
        </w:numPr>
        <w:rPr/>
      </w:pPr>
      <w:r>
        <w:rPr>
          <w:sz w:val="24"/>
          <w:szCs w:val="24"/>
        </w:rPr>
        <w:t>What children eat is known to be one of the key factors influencing their health.  Staff in schools may also eat one of their main daily meals in the school.  The current curriculum provides an opportunity to teach about food and healthy lifestyles.</w:t>
      </w:r>
    </w:p>
    <w:p>
      <w:pPr>
        <w:pStyle w:val="Normal"/>
        <w:numPr>
          <w:ilvl w:val="0"/>
          <w:numId w:val="1"/>
        </w:numPr>
        <w:rPr/>
      </w:pPr>
      <w:r>
        <w:rPr>
          <w:sz w:val="24"/>
          <w:szCs w:val="24"/>
        </w:rPr>
        <w:t>Hydration is very important for brain development and brain activity so your child should always have a bottle of water in their school bag.</w:t>
      </w:r>
    </w:p>
    <w:p>
      <w:pPr>
        <w:pStyle w:val="ListParagraph"/>
        <w:numPr>
          <w:ilvl w:val="0"/>
          <w:numId w:val="1"/>
        </w:numPr>
        <w:rPr/>
      </w:pPr>
      <w:r>
        <w:rPr>
          <w:sz w:val="24"/>
          <w:szCs w:val="24"/>
        </w:rPr>
        <w:t xml:space="preserve">We understand that making children’s lunches is an ongoing task but a healthy lunch will boost their energy and success at school. </w:t>
      </w:r>
      <w:r>
        <w:rPr>
          <w:sz w:val="24"/>
          <w:szCs w:val="24"/>
        </w:rPr>
        <w:t xml:space="preserve">A healthy lunch box consists of a mix of foods from the bottom four shelves of the food pyramid shown </w:t>
      </w:r>
      <w:r>
        <w:rPr>
          <w:sz w:val="24"/>
          <w:szCs w:val="24"/>
        </w:rPr>
        <w:t>overleaf</w:t>
      </w:r>
      <w:r>
        <w:rPr>
          <w:sz w:val="24"/>
          <w:szCs w:val="24"/>
        </w:rPr>
        <w:t xml:space="preserve">. </w:t>
      </w:r>
    </w:p>
    <w:p>
      <w:pPr>
        <w:pStyle w:val="ListParagraph"/>
        <w:numPr>
          <w:ilvl w:val="0"/>
          <w:numId w:val="0"/>
        </w:numPr>
        <w:ind w:left="2160" w:hanging="0"/>
        <w:rPr>
          <w:sz w:val="24"/>
          <w:szCs w:val="24"/>
        </w:rPr>
      </w:pPr>
      <w:r>
        <w:rPr/>
      </w:r>
    </w:p>
    <w:p>
      <w:pPr>
        <w:pStyle w:val="ListParagraph"/>
        <w:numPr>
          <w:ilvl w:val="2"/>
          <w:numId w:val="1"/>
        </w:numPr>
        <w:rPr/>
      </w:pPr>
      <w:r>
        <w:rPr>
          <w:sz w:val="24"/>
          <w:szCs w:val="24"/>
        </w:rPr>
        <w:t>Healthy choices of drink include water, milk and unsweetened juice.</w:t>
      </w:r>
    </w:p>
    <w:p>
      <w:pPr>
        <w:pStyle w:val="ListParagraph"/>
        <w:numPr>
          <w:ilvl w:val="2"/>
          <w:numId w:val="1"/>
        </w:numPr>
        <w:rPr/>
      </w:pPr>
      <w:r>
        <w:rPr>
          <w:sz w:val="24"/>
          <w:szCs w:val="24"/>
        </w:rPr>
        <w:t>Healthy choices for</w:t>
      </w:r>
      <w:r>
        <w:rPr>
          <w:sz w:val="24"/>
          <w:szCs w:val="24"/>
        </w:rPr>
        <w:t xml:space="preserve"> break</w:t>
      </w:r>
      <w:r>
        <w:rPr>
          <w:sz w:val="24"/>
          <w:szCs w:val="24"/>
        </w:rPr>
        <w:t>s</w:t>
      </w:r>
      <w:r>
        <w:rPr>
          <w:sz w:val="24"/>
          <w:szCs w:val="24"/>
        </w:rPr>
        <w:t xml:space="preserve"> include fruit, vegetables, raisins, cheese, </w:t>
      </w:r>
      <w:r>
        <w:rPr>
          <w:sz w:val="24"/>
          <w:szCs w:val="24"/>
        </w:rPr>
        <w:t>crackers, yogurts, brown bread sandwiches and whole meal wraps.</w:t>
      </w:r>
    </w:p>
    <w:p>
      <w:pPr>
        <w:pStyle w:val="Normal"/>
        <w:numPr>
          <w:ilvl w:val="0"/>
          <w:numId w:val="1"/>
        </w:numPr>
        <w:rPr/>
      </w:pPr>
      <w:r>
        <w:rPr>
          <w:sz w:val="24"/>
          <w:szCs w:val="24"/>
        </w:rPr>
        <w:t>Foods which have wrappers should be disposed of properly to reduce litter and protect our school environment. To this end, the school has recycling bins where pupils can dispose of wrappers, cartons, etc. Non-recyclable materials and food waste (skins etc.) are to be returned to lunch box and brought home.</w:t>
      </w:r>
    </w:p>
    <w:p>
      <w:pPr>
        <w:pStyle w:val="Normal"/>
        <w:numPr>
          <w:ilvl w:val="0"/>
          <w:numId w:val="1"/>
        </w:numPr>
        <w:rPr/>
      </w:pPr>
      <w:r>
        <w:rPr>
          <w:sz w:val="24"/>
          <w:szCs w:val="24"/>
        </w:rPr>
        <w:t xml:space="preserve">All classes will receive a minimum of two lessons on healthy eating per year. During these lessons recycling will also be discussed. </w:t>
      </w:r>
    </w:p>
    <w:p>
      <w:pPr>
        <w:pStyle w:val="Normal"/>
        <w:numPr>
          <w:ilvl w:val="0"/>
          <w:numId w:val="1"/>
        </w:numPr>
        <w:rPr/>
      </w:pPr>
      <w:r>
        <w:rPr>
          <w:sz w:val="24"/>
          <w:szCs w:val="24"/>
        </w:rPr>
        <w:t>Teachers will provide positive modelling and supportive attitudes to encourage healthy eating.</w:t>
      </w:r>
    </w:p>
    <w:p>
      <w:pPr>
        <w:pStyle w:val="Normal"/>
        <w:numPr>
          <w:ilvl w:val="0"/>
          <w:numId w:val="1"/>
        </w:numPr>
        <w:rPr/>
      </w:pPr>
      <w:r>
        <w:rPr>
          <w:sz w:val="24"/>
          <w:szCs w:val="24"/>
        </w:rPr>
        <w:t>The following items are not allowed in the school:</w:t>
      </w:r>
    </w:p>
    <w:p>
      <w:pPr>
        <w:pStyle w:val="Normal"/>
        <w:rPr/>
      </w:pPr>
      <w:r>
        <w:rPr>
          <w:sz w:val="24"/>
          <w:szCs w:val="24"/>
        </w:rPr>
        <w:tab/>
        <w:t xml:space="preserve">Chewing gum </w:t>
        <w:tab/>
        <w:tab/>
        <w:t>Soft drinks</w:t>
        <w:tab/>
        <w:tab/>
        <w:t>Cans</w:t>
        <w:tab/>
        <w:tab/>
      </w:r>
      <w:r>
        <w:rPr>
          <w:sz w:val="24"/>
          <w:szCs w:val="24"/>
        </w:rPr>
        <w:t>Sugary juices</w:t>
      </w:r>
    </w:p>
    <w:p>
      <w:pPr>
        <w:pStyle w:val="Normal"/>
        <w:rPr/>
      </w:pPr>
      <w:r>
        <w:rPr>
          <w:sz w:val="24"/>
          <w:szCs w:val="24"/>
        </w:rPr>
        <w:tab/>
        <w:t>Chocolate</w:t>
        <w:tab/>
        <w:tab/>
      </w:r>
      <w:r>
        <w:rPr>
          <w:sz w:val="24"/>
          <w:szCs w:val="24"/>
        </w:rPr>
        <w:t>B</w:t>
      </w:r>
      <w:r>
        <w:rPr>
          <w:sz w:val="24"/>
          <w:szCs w:val="24"/>
        </w:rPr>
        <w:t>iscuits</w:t>
        <w:tab/>
        <w:tab/>
      </w:r>
      <w:r>
        <w:rPr>
          <w:sz w:val="24"/>
          <w:szCs w:val="24"/>
        </w:rPr>
        <w:t>Crisps</w:t>
        <w:tab/>
        <w:tab/>
      </w:r>
      <w:r>
        <w:rPr>
          <w:sz w:val="24"/>
          <w:szCs w:val="24"/>
        </w:rPr>
        <w:t>Glass bottles</w:t>
        <w:tab/>
      </w:r>
    </w:p>
    <w:p>
      <w:pPr>
        <w:pStyle w:val="Normal"/>
        <w:rPr/>
      </w:pPr>
      <w:r>
        <w:rPr>
          <w:sz w:val="24"/>
          <w:szCs w:val="24"/>
        </w:rPr>
        <w:tab/>
      </w:r>
      <w:r>
        <w:rPr>
          <w:sz w:val="24"/>
          <w:szCs w:val="24"/>
        </w:rPr>
        <w:t>Cakes</w:t>
        <w:tab/>
        <w:tab/>
        <w:tab/>
        <w:t>Buns</w:t>
        <w:tab/>
        <w:tab/>
        <w:tab/>
        <w:t>Foods that are high in sugar &amp; salt</w:t>
      </w:r>
      <w:r>
        <w:rPr>
          <w:sz w:val="24"/>
          <w:szCs w:val="24"/>
        </w:rPr>
        <w:t xml:space="preserve">      </w:t>
      </w:r>
    </w:p>
    <w:p>
      <w:pPr>
        <w:pStyle w:val="Normal"/>
        <w:rPr>
          <w:sz w:val="24"/>
          <w:szCs w:val="24"/>
        </w:rPr>
      </w:pPr>
      <w:r>
        <w:rPr/>
      </w:r>
    </w:p>
    <w:p>
      <w:pPr>
        <w:pStyle w:val="Normal"/>
        <w:rPr/>
      </w:pPr>
      <w:r>
        <w:rPr>
          <w:sz w:val="24"/>
          <w:szCs w:val="24"/>
        </w:rPr>
        <w:t>These healthy eating guidelines will be reviewed every two years.</w:t>
      </w:r>
    </w:p>
    <w:p>
      <w:pPr>
        <w:pStyle w:val="Normal"/>
        <w:rPr>
          <w:sz w:val="24"/>
          <w:szCs w:val="24"/>
        </w:rPr>
      </w:pPr>
      <w:r>
        <w:rPr>
          <w:sz w:val="24"/>
          <w:szCs w:val="24"/>
        </w:rPr>
      </w:r>
    </w:p>
    <w:p>
      <w:pPr>
        <w:pStyle w:val="Normal"/>
        <w:rPr>
          <w:sz w:val="24"/>
          <w:szCs w:val="24"/>
        </w:rPr>
      </w:pPr>
      <w:bookmarkStart w:id="0" w:name="_GoBack"/>
      <w:bookmarkEnd w:id="0"/>
      <w:r>
        <w:rPr/>
        <w:drawing>
          <wp:inline distT="0" distB="0" distL="0" distR="0">
            <wp:extent cx="5731510" cy="4041140"/>
            <wp:effectExtent l="0" t="0" r="0" b="0"/>
            <wp:docPr id="1" name="Picture 1" descr="http://www.glenisk.com/uploads/images/foodpyrami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www.glenisk.com/uploads/images/foodpyramid3.jpg"/>
                    <pic:cNvPicPr>
                      <a:picLocks noChangeAspect="1" noChangeArrowheads="1"/>
                    </pic:cNvPicPr>
                  </pic:nvPicPr>
                  <pic:blipFill>
                    <a:blip r:embed="rId2"/>
                    <a:stretch>
                      <a:fillRect/>
                    </a:stretch>
                  </pic:blipFill>
                  <pic:spPr bwMode="auto">
                    <a:xfrm>
                      <a:off x="0" y="0"/>
                      <a:ext cx="5731510" cy="4041140"/>
                    </a:xfrm>
                    <a:prstGeom prst="rect">
                      <a:avLst/>
                    </a:prstGeom>
                  </pic:spPr>
                </pic:pic>
              </a:graphicData>
            </a:graphic>
          </wp:inline>
        </w:drawing>
      </w:r>
    </w:p>
    <w:p>
      <w:pPr>
        <w:pStyle w:val="Normal"/>
        <w:rPr>
          <w:sz w:val="24"/>
          <w:szCs w:val="24"/>
        </w:rPr>
      </w:pPr>
      <w:r>
        <w:rPr>
          <w:sz w:val="24"/>
          <w:szCs w:val="24"/>
        </w:rPr>
      </w:r>
    </w:p>
    <w:p>
      <w:pPr>
        <w:pStyle w:val="Normal"/>
        <w:spacing w:before="0" w:after="200"/>
        <w:rPr/>
      </w:pPr>
      <w:r>
        <w:rPr/>
      </w:r>
    </w:p>
    <w:sectPr>
      <w:headerReference w:type="default" r:id="rId3"/>
      <w:type w:val="nextPage"/>
      <w:pgSz w:w="11906" w:h="16838"/>
      <w:pgMar w:left="1440" w:right="1440" w:header="1440" w:top="1992"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before="0" w:after="200"/>
      <w:jc w:val="center"/>
      <w:rPr/>
    </w:pPr>
    <w:r>
      <w:rPr/>
      <w:t>Caherea National School</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I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IE"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en-IE" w:eastAsia="en-US" w:bidi="ar-SA"/>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1779"/>
    <w:rPr>
      <w:rFonts w:ascii="Tahoma" w:hAnsi="Tahoma" w:cs="Tahoma"/>
      <w:sz w:val="16"/>
      <w:szCs w:val="16"/>
    </w:rPr>
  </w:style>
  <w:style w:type="character" w:styleId="NumberingSymbols">
    <w:name w:val="Numbering Symbols"/>
    <w:qFormat/>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d623df"/>
    <w:pPr>
      <w:spacing w:before="0" w:after="200"/>
      <w:ind w:left="720" w:hanging="0"/>
      <w:contextualSpacing/>
    </w:pPr>
    <w:rPr/>
  </w:style>
  <w:style w:type="paragraph" w:styleId="BalloonText">
    <w:name w:val="Balloon Text"/>
    <w:basedOn w:val="Normal"/>
    <w:link w:val="BalloonTextChar"/>
    <w:uiPriority w:val="99"/>
    <w:semiHidden/>
    <w:unhideWhenUsed/>
    <w:qFormat/>
    <w:rsid w:val="00d11779"/>
    <w:pPr>
      <w:spacing w:lineRule="auto" w:line="240" w:before="0" w:after="0"/>
    </w:pPr>
    <w:rPr>
      <w:rFonts w:ascii="Tahoma" w:hAnsi="Tahoma" w:cs="Tahoma"/>
      <w:sz w:val="16"/>
      <w:szCs w:val="16"/>
    </w:rPr>
  </w:style>
  <w:style w:type="paragraph" w:styleId="Header">
    <w:name w:val="Header"/>
    <w:basedOn w:val="Normal"/>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Application>LibreOffice/5.2.5.1$Windows_x86 LibreOffice_project/0312e1a284a7d50ca85a365c316c7abbf20a4d22</Application>
  <Pages>2</Pages>
  <Words>314</Words>
  <Characters>1610</Characters>
  <CharactersWithSpaces>1923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2013-03-19T14:05:00Z</dcterms:created>
  <dc:creator>User</dc:creator>
  <dc:description/>
  <dc:language>en-IE</dc:language>
  <cp:lastModifiedBy/>
  <dcterms:modified xsi:type="dcterms:W3CDTF">2018-10-02T19:11:05Z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